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驻马店市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博物</w:t>
      </w:r>
      <w:r>
        <w:rPr>
          <w:rFonts w:hint="eastAsia" w:ascii="方正小标宋简体" w:hAnsi="方正小标宋简体" w:eastAsia="方正小标宋简体"/>
          <w:sz w:val="44"/>
          <w:szCs w:val="44"/>
        </w:rPr>
        <w:t>馆音像制品制作</w:t>
      </w:r>
      <w:r>
        <w:rPr>
          <w:rStyle w:val="14"/>
          <w:rFonts w:hint="eastAsia" w:ascii="方正小标宋简体" w:hAnsi="方正小标宋简体" w:eastAsia="方正小标宋简体"/>
          <w:sz w:val="44"/>
          <w:szCs w:val="44"/>
        </w:rPr>
        <w:t>服务采购需求</w:t>
      </w:r>
    </w:p>
    <w:p>
      <w:pPr>
        <w:snapToGrid w:val="0"/>
        <w:spacing w:line="560" w:lineRule="exact"/>
        <w:ind w:firstLine="640" w:firstLineChars="200"/>
        <w:rPr>
          <w:rStyle w:val="14"/>
          <w:rFonts w:ascii="黑体" w:hAnsi="黑体" w:eastAsia="黑体"/>
          <w:sz w:val="32"/>
          <w:szCs w:val="32"/>
        </w:rPr>
      </w:pPr>
      <w:r>
        <w:rPr>
          <w:rStyle w:val="14"/>
          <w:rFonts w:ascii="黑体" w:hAnsi="黑体" w:eastAsia="黑体"/>
          <w:sz w:val="32"/>
          <w:szCs w:val="32"/>
        </w:rPr>
        <w:t>一、项目概况及预算情况</w:t>
      </w:r>
    </w:p>
    <w:p>
      <w:pPr>
        <w:snapToGrid w:val="0"/>
        <w:spacing w:line="560" w:lineRule="exact"/>
        <w:ind w:firstLine="640" w:firstLineChars="200"/>
        <w:rPr>
          <w:rStyle w:val="14"/>
          <w:rFonts w:ascii="仿宋_GB2312" w:hAnsi="仿宋_GB2312" w:eastAsia="仿宋_GB2312"/>
          <w:sz w:val="32"/>
          <w:szCs w:val="32"/>
        </w:rPr>
      </w:pPr>
      <w:r>
        <w:rPr>
          <w:rStyle w:val="14"/>
          <w:rFonts w:ascii="仿宋_GB2312" w:hAnsi="仿宋_GB2312" w:eastAsia="仿宋_GB2312"/>
          <w:sz w:val="32"/>
          <w:szCs w:val="32"/>
        </w:rPr>
        <w:t>1</w:t>
      </w:r>
      <w:r>
        <w:rPr>
          <w:rStyle w:val="14"/>
          <w:rFonts w:hint="eastAsia" w:ascii="仿宋_GB2312" w:hAnsi="仿宋_GB2312" w:eastAsia="仿宋_GB2312"/>
          <w:sz w:val="32"/>
          <w:szCs w:val="32"/>
        </w:rPr>
        <w:t>.</w:t>
      </w:r>
      <w:r>
        <w:rPr>
          <w:rStyle w:val="14"/>
          <w:rFonts w:ascii="仿宋_GB2312" w:hAnsi="仿宋_GB2312" w:eastAsia="仿宋_GB2312"/>
          <w:sz w:val="32"/>
          <w:szCs w:val="32"/>
        </w:rPr>
        <w:t>项目概况</w:t>
      </w:r>
    </w:p>
    <w:p>
      <w:pPr>
        <w:widowControl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2024年我馆计划开展的大型临时展览有《天中金属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修复成果展》、《万春晖拓片专题展》、《蔡国历史专题展》等，为满足全省年度优秀陈列展览评选要求，更好地宣传展览的文化特色，需为展览拍摄专题展示视频参加评选并作为网上展览使用，同时另拍摄相应的展览宣传系列视频。为保证视频的制作水平和质量，要求全景高清视频，用纪实手法结合艺术渲染真实反映展厅场景，视频拍摄、剪辑、调色、字幕、配音及后期快剪等，因此需要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bidi="ar"/>
        </w:rPr>
        <w:t>一家具备高度专业素养和技术实力的音像制品制作服务供应商，为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 w:bidi="ar"/>
        </w:rPr>
        <w:t>我馆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bidi="ar"/>
        </w:rPr>
        <w:t>提供优质的音像制品制作服务。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Style w:val="14"/>
          <w:rFonts w:hint="eastAsia" w:ascii="仿宋_GB2312" w:hAnsi="仿宋_GB2312" w:eastAsia="仿宋_GB231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z w:val="32"/>
          <w:szCs w:val="32"/>
        </w:rPr>
        <w:t>服务内容</w:t>
      </w:r>
    </w:p>
    <w:tbl>
      <w:tblPr>
        <w:tblStyle w:val="3"/>
        <w:tblW w:w="9433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728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8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展览日期</w:t>
            </w:r>
          </w:p>
        </w:tc>
        <w:tc>
          <w:tcPr>
            <w:tcW w:w="272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展览名称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展览基本内容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2024.04月—2024.07月</w:t>
            </w:r>
          </w:p>
        </w:tc>
        <w:tc>
          <w:tcPr>
            <w:tcW w:w="27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《天中金属文物修复成果展》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集中展示我市近年来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金属文物修复成果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0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2024.08月—2024.10 月</w:t>
            </w:r>
          </w:p>
        </w:tc>
        <w:tc>
          <w:tcPr>
            <w:tcW w:w="27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《万春晖拓片专题展》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万春晖先生收藏的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石碑、石刻、砖瓦、浮雕、器物等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拓片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2087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2024.11月—2025.01 月</w:t>
            </w:r>
          </w:p>
        </w:tc>
        <w:tc>
          <w:tcPr>
            <w:tcW w:w="27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《蔡国历史专题展》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展示蔡国兴衰过程，历史名人典故，遗址古迹及出土文物等</w:t>
            </w:r>
          </w:p>
        </w:tc>
      </w:tr>
    </w:tbl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3.项目预算</w:t>
      </w:r>
    </w:p>
    <w:p>
      <w:pPr>
        <w:widowControl/>
        <w:spacing w:line="540" w:lineRule="exact"/>
        <w:ind w:firstLine="640" w:firstLineChars="200"/>
        <w:rPr>
          <w:rStyle w:val="14"/>
          <w:rFonts w:hint="eastAsia" w:ascii="仿宋_GB2312" w:hAnsi="仿宋_GB2312" w:eastAsia="仿宋_GB231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z w:val="32"/>
          <w:szCs w:val="32"/>
        </w:rPr>
        <w:t>服务预算</w:t>
      </w:r>
      <w:r>
        <w:rPr>
          <w:rStyle w:val="14"/>
          <w:rFonts w:ascii="仿宋_GB2312" w:hAnsi="仿宋_GB2312" w:eastAsia="仿宋_GB2312"/>
          <w:sz w:val="32"/>
          <w:szCs w:val="32"/>
        </w:rPr>
        <w:t>费用</w:t>
      </w:r>
      <w:r>
        <w:rPr>
          <w:rStyle w:val="14"/>
          <w:rFonts w:hint="eastAsia" w:ascii="仿宋_GB2312" w:hAnsi="仿宋_GB2312" w:eastAsia="仿宋_GB2312"/>
          <w:sz w:val="32"/>
          <w:szCs w:val="32"/>
          <w:lang w:val="en-US" w:eastAsia="zh-CN"/>
        </w:rPr>
        <w:t>51</w:t>
      </w:r>
      <w:r>
        <w:rPr>
          <w:rStyle w:val="14"/>
          <w:rFonts w:hint="eastAsia" w:ascii="仿宋_GB2312" w:hAnsi="仿宋_GB2312" w:eastAsia="仿宋_GB2312"/>
          <w:sz w:val="32"/>
          <w:szCs w:val="32"/>
        </w:rPr>
        <w:t>000元</w:t>
      </w:r>
    </w:p>
    <w:p>
      <w:pPr>
        <w:widowControl/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二、采购要求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1、投标人必须具备年检合格有效并加载统一社会信用代码的营业执照。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根据《关于在政府采购活动中查询及使用信用记录有关问题的通知》(财库〔2016〕125号)的规定，对列入失信被执行人、重大税收违法案件当事人名单、政府采购严重违法失信行为记录名单的供应商，拒绝参与本项目政府采购活动【查询渠道：“信用中国”网站（www.creditchina.gov.cn）、中国政府采购网（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HYPERLINK "http://www.ccgp.gov.cn）】"</w:instrText>
      </w:r>
      <w:r>
        <w:rPr>
          <w:sz w:val="32"/>
          <w:szCs w:val="32"/>
        </w:rPr>
        <w:fldChar w:fldCharType="separate"/>
      </w:r>
      <w:r>
        <w:rPr>
          <w:rFonts w:hint="eastAsia" w:ascii="仿宋_GB2312" w:hAnsi="仿宋_GB2312" w:eastAsia="仿宋_GB2312"/>
          <w:sz w:val="32"/>
          <w:szCs w:val="32"/>
        </w:rPr>
        <w:t>www.ccgp.gov.cn）】</w:t>
      </w:r>
      <w:r>
        <w:rPr>
          <w:sz w:val="32"/>
          <w:szCs w:val="32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3.具有较强本地化服务能力，供应商需在市区内具有常驻工作场所或是常驻技术人员与设备。并保证在服务期间随时服务，根据采购人要求进行详细沟通交流，确保服务质量。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4.参加政府采购前，在经营活动中没有重大违法记录的书面声明。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/>
          <w:sz w:val="32"/>
          <w:szCs w:val="32"/>
        </w:rPr>
        <w:t>供应商需提供本项目的服务承诺书。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有投标意向的供应商必须派驻本单位的项目负责人携带本人身份证、法人授权委托书（加盖公章）及以上证明资料（留存盖章复印件一份）到我单位联系人处签到报名确认，经业主审核通过的供应商进行电子商城竞价，如供应商不响应采购需求视为无效报价。材料不齐全参与竞标或报价明显低于成本的供应商视为恶意竞争，采购人有权予以废标并重新开展竞价活动，同时将上报问题并追究相关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7.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供应商竞价成功后不得转包给第三方公司（人员）实施，否则，甲方有权终止采购，所有损失（包括甲方损失）由供应商全额承担。</w:t>
      </w:r>
    </w:p>
    <w:p>
      <w:pPr>
        <w:widowControl/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三、联系方式</w:t>
      </w:r>
    </w:p>
    <w:p>
      <w:pPr>
        <w:widowControl/>
        <w:snapToGrid w:val="0"/>
        <w:spacing w:line="540" w:lineRule="exact"/>
        <w:ind w:firstLine="632" w:firstLineChars="200"/>
        <w:jc w:val="left"/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采购单位：驻马店市</w:t>
      </w: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  <w:lang w:eastAsia="zh-CN"/>
        </w:rPr>
        <w:t>博物</w:t>
      </w: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馆</w:t>
      </w:r>
    </w:p>
    <w:p>
      <w:pPr>
        <w:widowControl/>
        <w:snapToGrid w:val="0"/>
        <w:spacing w:line="540" w:lineRule="exact"/>
        <w:ind w:firstLine="632" w:firstLineChars="200"/>
        <w:jc w:val="left"/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地    址：驻马店市通达路中段</w:t>
      </w:r>
    </w:p>
    <w:p>
      <w:pPr>
        <w:widowControl/>
        <w:snapToGrid w:val="0"/>
        <w:spacing w:line="540" w:lineRule="exact"/>
        <w:ind w:firstLine="632" w:firstLineChars="200"/>
        <w:jc w:val="left"/>
        <w:rPr>
          <w:rStyle w:val="14"/>
          <w:rFonts w:hint="eastAsia" w:ascii="仿宋_GB2312" w:hAnsi="仿宋_GB2312" w:eastAsia="仿宋_GB2312"/>
          <w:spacing w:val="-2"/>
          <w:sz w:val="32"/>
          <w:szCs w:val="32"/>
          <w:lang w:eastAsia="zh-CN"/>
        </w:rPr>
      </w:pP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联 系 人：</w:t>
      </w: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  <w:lang w:eastAsia="zh-CN"/>
        </w:rPr>
        <w:t>刘文明</w:t>
      </w:r>
    </w:p>
    <w:p>
      <w:pPr>
        <w:widowControl/>
        <w:snapToGrid w:val="0"/>
        <w:spacing w:line="540" w:lineRule="exact"/>
        <w:ind w:firstLine="632" w:firstLineChars="200"/>
        <w:jc w:val="left"/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联系方式：260</w:t>
      </w: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  <w:lang w:val="en-US" w:eastAsia="zh-CN"/>
        </w:rPr>
        <w:t>6577</w:t>
      </w: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 xml:space="preserve">          </w:t>
      </w:r>
    </w:p>
    <w:p>
      <w:pPr>
        <w:widowControl/>
        <w:snapToGrid w:val="0"/>
        <w:spacing w:line="540" w:lineRule="exact"/>
        <w:ind w:firstLine="632" w:firstLineChars="200"/>
        <w:jc w:val="left"/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</w:pPr>
    </w:p>
    <w:p>
      <w:pPr>
        <w:widowControl/>
        <w:snapToGrid w:val="0"/>
        <w:spacing w:line="540" w:lineRule="exact"/>
        <w:ind w:firstLine="4424" w:firstLineChars="1400"/>
        <w:jc w:val="right"/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</w:pPr>
      <w:r>
        <w:rPr>
          <w:rStyle w:val="14"/>
          <w:rFonts w:hint="eastAsia" w:ascii="仿宋_GB2312" w:hAnsi="仿宋_GB2312" w:eastAsia="仿宋_GB2312"/>
          <w:spacing w:val="-2"/>
          <w:sz w:val="32"/>
          <w:szCs w:val="32"/>
        </w:rPr>
        <w:t>2024年4月24日</w:t>
      </w:r>
    </w:p>
    <w:sectPr>
      <w:pgSz w:w="11906" w:h="16838"/>
      <w:pgMar w:top="1134" w:right="567" w:bottom="873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CB75AB"/>
    <w:multiLevelType w:val="singleLevel"/>
    <w:tmpl w:val="53CB75A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Tk1NjA0NzQ1ZTM5ZDZlMjQ0YjI2YWRiM2Q4YTMwMTAifQ=="/>
  </w:docVars>
  <w:rsids>
    <w:rsidRoot w:val="00000000"/>
    <w:rsid w:val="2896647C"/>
    <w:rsid w:val="45696943"/>
    <w:rsid w:val="683D6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默认段落字体1"/>
    <w:link w:val="1"/>
    <w:autoRedefine/>
    <w:qFormat/>
    <w:uiPriority w:val="0"/>
  </w:style>
  <w:style w:type="table" w:customStyle="1" w:styleId="6">
    <w:name w:val="普通表格1"/>
    <w:autoRedefine/>
    <w:qFormat/>
    <w:uiPriority w:val="0"/>
  </w:style>
  <w:style w:type="paragraph" w:customStyle="1" w:styleId="7">
    <w:name w:val="正文缩进1"/>
    <w:basedOn w:val="1"/>
    <w:autoRedefine/>
    <w:qFormat/>
    <w:uiPriority w:val="0"/>
    <w:pPr>
      <w:ind w:firstLine="420" w:firstLineChars="200"/>
    </w:pPr>
  </w:style>
  <w:style w:type="paragraph" w:customStyle="1" w:styleId="8">
    <w:name w:val="页脚1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5"/>
    <w:link w:val="8"/>
    <w:autoRedefine/>
    <w:semiHidden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10">
    <w:name w:val="页眉1"/>
    <w:basedOn w:val="1"/>
    <w:link w:val="1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5"/>
    <w:link w:val="10"/>
    <w:autoRedefine/>
    <w:semiHidden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12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3">
    <w:name w:val="网格型1"/>
    <w:basedOn w:val="6"/>
    <w:autoRedefine/>
    <w:qFormat/>
    <w:uiPriority w:val="0"/>
    <w:pPr>
      <w:widowControl w:val="0"/>
      <w:jc w:val="both"/>
    </w:pPr>
  </w:style>
  <w:style w:type="character" w:customStyle="1" w:styleId="14">
    <w:name w:val="NormalCharacter"/>
    <w:link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2024-04-24T03:11:00Z</dcterms:created>
  <dc:creator>张真布鲁兹老爷</dc:creator>
  <cp:lastModifiedBy>张真布鲁兹老爷</cp:lastModifiedBy>
  <dcterms:modified xsi:type="dcterms:W3CDTF">2024-04-24T03:23:54Z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1756844217824613B091BAB16A4C0098_12</vt:lpwstr>
  </property>
</Properties>
</file>